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A3E39" w:rsidRPr="004A3E39" w:rsidRDefault="004A3E39" w:rsidP="004A3E39">
      <w:pPr>
        <w:spacing w:before="100" w:beforeAutospacing="1" w:after="100" w:afterAutospacing="1" w:line="240" w:lineRule="auto"/>
        <w:outlineLvl w:val="5"/>
        <w:rPr>
          <w:rFonts w:ascii="Publico" w:eastAsia="Times New Roman" w:hAnsi="Publico" w:cs="Times New Roman"/>
          <w:color w:val="006AA9"/>
          <w:kern w:val="0"/>
          <w:sz w:val="15"/>
          <w:szCs w:val="15"/>
          <w14:ligatures w14:val="none"/>
        </w:rPr>
      </w:pPr>
      <w:r w:rsidRPr="004A3E39">
        <w:rPr>
          <w:rFonts w:ascii="Publico" w:eastAsia="Times New Roman" w:hAnsi="Publico" w:cs="Times New Roman"/>
          <w:color w:val="006AA9"/>
          <w:kern w:val="0"/>
          <w:sz w:val="15"/>
          <w:szCs w:val="15"/>
          <w14:ligatures w14:val="none"/>
        </w:rPr>
        <w:br/>
        <w:t>February 22, 2023</w:t>
      </w:r>
    </w:p>
    <w:p w:rsidR="004A3E39" w:rsidRPr="004A3E39" w:rsidRDefault="004A3E39" w:rsidP="00857710">
      <w:pPr>
        <w:spacing w:before="100" w:beforeAutospacing="1" w:after="100" w:afterAutospacing="1" w:line="240" w:lineRule="auto"/>
        <w:outlineLvl w:val="0"/>
        <w:rPr>
          <w:rFonts w:ascii="Publico" w:eastAsia="Times New Roman" w:hAnsi="Publico" w:cs="Times New Roman"/>
          <w:color w:val="000000"/>
          <w:kern w:val="0"/>
          <w14:ligatures w14:val="none"/>
        </w:rPr>
      </w:pPr>
      <w:r w:rsidRPr="004A3E39">
        <w:rPr>
          <w:rFonts w:ascii="Publico" w:eastAsia="Times New Roman" w:hAnsi="Publico" w:cs="Times New Roman"/>
          <w:color w:val="000000"/>
          <w:kern w:val="36"/>
          <w:sz w:val="48"/>
          <w:szCs w:val="48"/>
          <w14:ligatures w14:val="none"/>
        </w:rPr>
        <w:t xml:space="preserve">2023 Plea Bargain Task Force Report urges </w:t>
      </w:r>
    </w:p>
    <w:p w:rsidR="004A3E39" w:rsidRPr="004A3E39" w:rsidRDefault="004A3E39" w:rsidP="004A3E39">
      <w:pPr>
        <w:spacing w:before="100" w:beforeAutospacing="1" w:after="100" w:afterAutospacing="1" w:line="240" w:lineRule="auto"/>
        <w:rPr>
          <w:rFonts w:ascii="Publico" w:eastAsia="Times New Roman" w:hAnsi="Publico" w:cs="Times New Roman"/>
          <w:color w:val="000000"/>
          <w:kern w:val="0"/>
          <w14:ligatures w14:val="none"/>
        </w:rPr>
      </w:pPr>
      <w:r w:rsidRPr="004A3E39">
        <w:rPr>
          <w:rFonts w:ascii="Publico" w:eastAsia="Times New Roman" w:hAnsi="Publico" w:cs="Times New Roman"/>
          <w:color w:val="000000"/>
          <w:kern w:val="0"/>
          <w14:ligatures w14:val="none"/>
        </w:rPr>
        <w:t>CHICAGO (Feb. 22, 2023) – Plea bargaining has become the primary way to resolve criminal cases in the United States, with nearly 98% of convictions nationwide currently coming from guilty pleas. But plea bargaining as currently practiced is often unjust, unfair and lacks transparency, according to a new </w:t>
      </w:r>
      <w:hyperlink r:id="rId6" w:history="1">
        <w:r w:rsidRPr="004A3E39">
          <w:rPr>
            <w:rFonts w:ascii="Publico" w:eastAsia="Times New Roman" w:hAnsi="Publico" w:cs="Times New Roman"/>
            <w:color w:val="006AA9"/>
            <w:kern w:val="0"/>
            <w:u w:val="single"/>
            <w14:ligatures w14:val="none"/>
          </w:rPr>
          <w:t>report</w:t>
        </w:r>
      </w:hyperlink>
      <w:r w:rsidRPr="004A3E39">
        <w:rPr>
          <w:rFonts w:ascii="Publico" w:eastAsia="Times New Roman" w:hAnsi="Publico" w:cs="Times New Roman"/>
          <w:color w:val="000000"/>
          <w:kern w:val="0"/>
          <w14:ligatures w14:val="none"/>
        </w:rPr>
        <w:t> released today by the </w:t>
      </w:r>
      <w:hyperlink r:id="rId7" w:history="1">
        <w:r w:rsidRPr="004A3E39">
          <w:rPr>
            <w:rFonts w:ascii="Publico" w:eastAsia="Times New Roman" w:hAnsi="Publico" w:cs="Times New Roman"/>
            <w:color w:val="006AA9"/>
            <w:kern w:val="0"/>
            <w:u w:val="single"/>
            <w14:ligatures w14:val="none"/>
          </w:rPr>
          <w:t>Plea Bargain Task Force</w:t>
        </w:r>
      </w:hyperlink>
      <w:r w:rsidRPr="004A3E39">
        <w:rPr>
          <w:rFonts w:ascii="Publico" w:eastAsia="Times New Roman" w:hAnsi="Publico" w:cs="Times New Roman"/>
          <w:color w:val="000000"/>
          <w:kern w:val="0"/>
          <w14:ligatures w14:val="none"/>
        </w:rPr>
        <w:t>, a group convened by the </w:t>
      </w:r>
      <w:hyperlink r:id="rId8" w:history="1">
        <w:r w:rsidRPr="004A3E39">
          <w:rPr>
            <w:rFonts w:ascii="Publico" w:eastAsia="Times New Roman" w:hAnsi="Publico" w:cs="Times New Roman"/>
            <w:color w:val="006AA9"/>
            <w:kern w:val="0"/>
            <w:u w:val="single"/>
            <w14:ligatures w14:val="none"/>
          </w:rPr>
          <w:t>Criminal Justice Section</w:t>
        </w:r>
      </w:hyperlink>
      <w:r w:rsidRPr="004A3E39">
        <w:rPr>
          <w:rFonts w:ascii="Publico" w:eastAsia="Times New Roman" w:hAnsi="Publico" w:cs="Times New Roman"/>
          <w:color w:val="000000"/>
          <w:kern w:val="0"/>
          <w14:ligatures w14:val="none"/>
        </w:rPr>
        <w:t> of the American Bar Association.</w:t>
      </w:r>
    </w:p>
    <w:p w:rsidR="004A3E39" w:rsidRPr="004A3E39" w:rsidRDefault="004A3E39" w:rsidP="004A3E39">
      <w:pPr>
        <w:spacing w:before="100" w:beforeAutospacing="1" w:after="100" w:afterAutospacing="1" w:line="240" w:lineRule="auto"/>
        <w:rPr>
          <w:rFonts w:ascii="Publico" w:eastAsia="Times New Roman" w:hAnsi="Publico" w:cs="Times New Roman"/>
          <w:color w:val="000000"/>
          <w:kern w:val="0"/>
          <w14:ligatures w14:val="none"/>
        </w:rPr>
      </w:pPr>
      <w:r w:rsidRPr="004A3E39">
        <w:rPr>
          <w:rFonts w:ascii="Publico" w:eastAsia="Times New Roman" w:hAnsi="Publico" w:cs="Times New Roman"/>
          <w:color w:val="000000"/>
          <w:kern w:val="0"/>
          <w14:ligatures w14:val="none"/>
        </w:rPr>
        <w:t>Formed in 2019 to assess the state of plea bargaining in America, the task force is the first collaborative endeavor with members representing various and diverse perspectives within the criminal system to take a definitive and comprehensive look at plea bargaining nationwide. It is made up of prosecutors, defense attorneys, judges, academics and members of various think tanks and advocacy organizations, including task force members affiliated with the Southern Poverty Law Center, Innocence Project, Council on Criminal Justice, National Association of Criminal Defense Lawyers, Fair Trials and the Cato Institute.</w:t>
      </w:r>
    </w:p>
    <w:p w:rsidR="004A3E39" w:rsidRPr="004A3E39" w:rsidRDefault="004A3E39" w:rsidP="004A3E39">
      <w:pPr>
        <w:spacing w:before="100" w:beforeAutospacing="1" w:after="100" w:afterAutospacing="1" w:line="240" w:lineRule="auto"/>
        <w:rPr>
          <w:rFonts w:ascii="Publico" w:eastAsia="Times New Roman" w:hAnsi="Publico" w:cs="Times New Roman"/>
          <w:color w:val="000000"/>
          <w:kern w:val="0"/>
          <w14:ligatures w14:val="none"/>
        </w:rPr>
      </w:pPr>
      <w:r w:rsidRPr="004A3E39">
        <w:rPr>
          <w:rFonts w:ascii="Publico" w:eastAsia="Times New Roman" w:hAnsi="Publico" w:cs="Times New Roman"/>
          <w:i/>
          <w:iCs/>
          <w:color w:val="000000"/>
          <w:kern w:val="0"/>
          <w14:ligatures w14:val="none"/>
        </w:rPr>
        <w:t>The views expressed in the report represent the opinions of the authors who each served in their individual capacities. They have not been reviewed or approved by the House of Delegates or the Board of Governors of the American Bar Association and, accordingly, should not be construed as representing the position of the association or any of its entities.</w:t>
      </w:r>
    </w:p>
    <w:p w:rsidR="004A3E39" w:rsidRPr="004A3E39" w:rsidRDefault="004A3E39" w:rsidP="004A3E39">
      <w:pPr>
        <w:spacing w:before="100" w:beforeAutospacing="1" w:after="100" w:afterAutospacing="1" w:line="240" w:lineRule="auto"/>
        <w:rPr>
          <w:rFonts w:ascii="Publico" w:eastAsia="Times New Roman" w:hAnsi="Publico" w:cs="Times New Roman"/>
          <w:color w:val="000000"/>
          <w:kern w:val="0"/>
          <w14:ligatures w14:val="none"/>
        </w:rPr>
      </w:pPr>
      <w:r w:rsidRPr="004A3E39">
        <w:rPr>
          <w:rFonts w:ascii="Publico" w:eastAsia="Times New Roman" w:hAnsi="Publico" w:cs="Times New Roman"/>
          <w:color w:val="000000"/>
          <w:kern w:val="0"/>
          <w14:ligatures w14:val="none"/>
        </w:rPr>
        <w:t>The report notes that the current plea-bargaining system offers some benefits, including efficiency, cost savings, certainty and a mechanism to incentivize defendants to cooperate or accept responsibility. However, the report found those benefits come at a cost. “The integrity of the criminal system is negatively affected by the sheer number of cases resolved by pleas. Police and government misconduct often goes unchecked because so few defendants proceed to pretrial hearings where such misconduct is litigated,” the report said.                                                                       </w:t>
      </w:r>
    </w:p>
    <w:p w:rsidR="004A3E39" w:rsidRPr="004A3E39" w:rsidRDefault="004A3E39" w:rsidP="004A3E39">
      <w:pPr>
        <w:spacing w:before="100" w:beforeAutospacing="1" w:after="100" w:afterAutospacing="1" w:line="240" w:lineRule="auto"/>
        <w:rPr>
          <w:rFonts w:ascii="Publico" w:eastAsia="Times New Roman" w:hAnsi="Publico" w:cs="Times New Roman"/>
          <w:color w:val="000000"/>
          <w:kern w:val="0"/>
          <w14:ligatures w14:val="none"/>
        </w:rPr>
      </w:pPr>
      <w:r w:rsidRPr="004A3E39">
        <w:rPr>
          <w:rFonts w:ascii="Publico" w:eastAsia="Times New Roman" w:hAnsi="Publico" w:cs="Times New Roman"/>
          <w:color w:val="000000"/>
          <w:kern w:val="0"/>
          <w14:ligatures w14:val="none"/>
        </w:rPr>
        <w:t>The task force recommended several major steps that legislatures, lawyers, judges and court administrators can take to create a more fair and transparent plea-bargaining system. “While the plea-bargaining process in the United States is broad and varied, the task force determined that it was vitally important to craft a single set of principles to guide plea practices generally,” the report found. “These principles represent our conclusions about how plea bargaining should operate within our larger criminal justice system, a system based on the fundamental constitutional right to trial.”</w:t>
      </w:r>
    </w:p>
    <w:p w:rsidR="004A3E39" w:rsidRPr="004A3E39" w:rsidRDefault="004A3E39" w:rsidP="004A3E39">
      <w:pPr>
        <w:spacing w:before="100" w:beforeAutospacing="1" w:after="100" w:afterAutospacing="1" w:line="240" w:lineRule="auto"/>
        <w:rPr>
          <w:rFonts w:ascii="Publico" w:eastAsia="Times New Roman" w:hAnsi="Publico" w:cs="Times New Roman"/>
          <w:color w:val="000000"/>
          <w:kern w:val="0"/>
          <w14:ligatures w14:val="none"/>
        </w:rPr>
      </w:pPr>
      <w:r w:rsidRPr="004A3E39">
        <w:rPr>
          <w:rFonts w:ascii="Publico" w:eastAsia="Times New Roman" w:hAnsi="Publico" w:cs="Times New Roman"/>
          <w:b/>
          <w:bCs/>
          <w:color w:val="000000"/>
          <w:kern w:val="0"/>
          <w14:ligatures w14:val="none"/>
        </w:rPr>
        <w:t>Among the 14 guiding principles in the report are the following:</w:t>
      </w:r>
    </w:p>
    <w:p w:rsidR="004A3E39" w:rsidRPr="004A3E39" w:rsidRDefault="004A3E39" w:rsidP="004A3E39">
      <w:pPr>
        <w:spacing w:before="100" w:beforeAutospacing="1" w:after="100" w:afterAutospacing="1" w:line="240" w:lineRule="auto"/>
        <w:rPr>
          <w:rFonts w:ascii="Publico" w:eastAsia="Times New Roman" w:hAnsi="Publico" w:cs="Times New Roman"/>
          <w:color w:val="000000"/>
          <w:kern w:val="0"/>
          <w14:ligatures w14:val="none"/>
        </w:rPr>
      </w:pPr>
      <w:r w:rsidRPr="004A3E39">
        <w:rPr>
          <w:rFonts w:ascii="Publico" w:eastAsia="Times New Roman" w:hAnsi="Publico" w:cs="Times New Roman"/>
          <w:b/>
          <w:bCs/>
          <w:color w:val="000000"/>
          <w:kern w:val="0"/>
          <w14:ligatures w14:val="none"/>
        </w:rPr>
        <w:t>Principle 1</w:t>
      </w:r>
      <w:r w:rsidRPr="004A3E39">
        <w:rPr>
          <w:rFonts w:ascii="Publico" w:eastAsia="Times New Roman" w:hAnsi="Publico" w:cs="Times New Roman"/>
          <w:color w:val="000000"/>
          <w:kern w:val="0"/>
          <w14:ligatures w14:val="none"/>
        </w:rPr>
        <w:t>: A vibrant and active docket of criminal trials and pre- and post-trial litigation is essential to promote transparency, accountability, justice and legitimacy in the criminal justice system.</w:t>
      </w:r>
    </w:p>
    <w:p w:rsidR="004A3E39" w:rsidRPr="004A3E39" w:rsidRDefault="004A3E39" w:rsidP="004A3E39">
      <w:pPr>
        <w:spacing w:before="100" w:beforeAutospacing="1" w:after="100" w:afterAutospacing="1" w:line="240" w:lineRule="auto"/>
        <w:rPr>
          <w:rFonts w:ascii="Publico" w:eastAsia="Times New Roman" w:hAnsi="Publico" w:cs="Times New Roman"/>
          <w:color w:val="000000"/>
          <w:kern w:val="0"/>
          <w14:ligatures w14:val="none"/>
        </w:rPr>
      </w:pPr>
      <w:r w:rsidRPr="004A3E39">
        <w:rPr>
          <w:rFonts w:ascii="Publico" w:eastAsia="Times New Roman" w:hAnsi="Publico" w:cs="Times New Roman"/>
          <w:b/>
          <w:bCs/>
          <w:color w:val="000000"/>
          <w:kern w:val="0"/>
          <w14:ligatures w14:val="none"/>
        </w:rPr>
        <w:lastRenderedPageBreak/>
        <w:t>Principle 2</w:t>
      </w:r>
      <w:r w:rsidRPr="004A3E39">
        <w:rPr>
          <w:rFonts w:ascii="Publico" w:eastAsia="Times New Roman" w:hAnsi="Publico" w:cs="Times New Roman"/>
          <w:color w:val="000000"/>
          <w:kern w:val="0"/>
          <w14:ligatures w14:val="none"/>
        </w:rPr>
        <w:t>: Guilty pleas should not result from the use of impermissibly coercive incentives that force a defendant to plead guilty rather than pursue their right to a trial.</w:t>
      </w:r>
    </w:p>
    <w:p w:rsidR="004A3E39" w:rsidRPr="004A3E39" w:rsidRDefault="004A3E39" w:rsidP="004A3E39">
      <w:pPr>
        <w:spacing w:before="100" w:beforeAutospacing="1" w:after="100" w:afterAutospacing="1" w:line="240" w:lineRule="auto"/>
        <w:rPr>
          <w:rFonts w:ascii="Publico" w:eastAsia="Times New Roman" w:hAnsi="Publico" w:cs="Times New Roman"/>
          <w:color w:val="000000"/>
          <w:kern w:val="0"/>
          <w14:ligatures w14:val="none"/>
        </w:rPr>
      </w:pPr>
      <w:r w:rsidRPr="004A3E39">
        <w:rPr>
          <w:rFonts w:ascii="Publico" w:eastAsia="Times New Roman" w:hAnsi="Publico" w:cs="Times New Roman"/>
          <w:b/>
          <w:bCs/>
          <w:color w:val="000000"/>
          <w:kern w:val="0"/>
          <w14:ligatures w14:val="none"/>
        </w:rPr>
        <w:t>Principle 3</w:t>
      </w:r>
      <w:r w:rsidRPr="004A3E39">
        <w:rPr>
          <w:rFonts w:ascii="Publico" w:eastAsia="Times New Roman" w:hAnsi="Publico" w:cs="Times New Roman"/>
          <w:color w:val="000000"/>
          <w:kern w:val="0"/>
          <w14:ligatures w14:val="none"/>
        </w:rPr>
        <w:t>: A substantial difference between the sentence offered prior to trial and the sentence received after trial undermines the integrity of the criminal system and reflects a penalty for exercising one’s right to trial. This differential, often referred to as the trial penalty, should be eliminated.</w:t>
      </w:r>
    </w:p>
    <w:p w:rsidR="004A3E39" w:rsidRPr="004A3E39" w:rsidRDefault="004A3E39" w:rsidP="004A3E39">
      <w:pPr>
        <w:spacing w:before="100" w:beforeAutospacing="1" w:after="100" w:afterAutospacing="1" w:line="240" w:lineRule="auto"/>
        <w:rPr>
          <w:rFonts w:ascii="Publico" w:eastAsia="Times New Roman" w:hAnsi="Publico" w:cs="Times New Roman"/>
          <w:color w:val="000000"/>
          <w:kern w:val="0"/>
          <w14:ligatures w14:val="none"/>
        </w:rPr>
      </w:pPr>
      <w:r w:rsidRPr="004A3E39">
        <w:rPr>
          <w:rFonts w:ascii="Publico" w:eastAsia="Times New Roman" w:hAnsi="Publico" w:cs="Times New Roman"/>
          <w:b/>
          <w:bCs/>
          <w:color w:val="000000"/>
          <w:kern w:val="0"/>
          <w14:ligatures w14:val="none"/>
        </w:rPr>
        <w:t>Principle 4</w:t>
      </w:r>
      <w:r w:rsidRPr="004A3E39">
        <w:rPr>
          <w:rFonts w:ascii="Publico" w:eastAsia="Times New Roman" w:hAnsi="Publico" w:cs="Times New Roman"/>
          <w:color w:val="000000"/>
          <w:kern w:val="0"/>
          <w14:ligatures w14:val="none"/>
        </w:rPr>
        <w:t>: Charges should not be selected or amended to induce a defendant to plead guilty or to punish defendants for exercising their rights, including the right to trial.</w:t>
      </w:r>
    </w:p>
    <w:p w:rsidR="004A3E39" w:rsidRPr="004A3E39" w:rsidRDefault="004A3E39" w:rsidP="004A3E39">
      <w:pPr>
        <w:spacing w:before="100" w:beforeAutospacing="1" w:after="100" w:afterAutospacing="1" w:line="240" w:lineRule="auto"/>
        <w:rPr>
          <w:rFonts w:ascii="Publico" w:eastAsia="Times New Roman" w:hAnsi="Publico" w:cs="Times New Roman"/>
          <w:color w:val="000000"/>
          <w:kern w:val="0"/>
          <w14:ligatures w14:val="none"/>
        </w:rPr>
      </w:pPr>
      <w:r w:rsidRPr="004A3E39">
        <w:rPr>
          <w:rFonts w:ascii="Publico" w:eastAsia="Times New Roman" w:hAnsi="Publico" w:cs="Times New Roman"/>
          <w:b/>
          <w:bCs/>
          <w:color w:val="000000"/>
          <w:kern w:val="0"/>
          <w14:ligatures w14:val="none"/>
        </w:rPr>
        <w:t>Principle 5</w:t>
      </w:r>
      <w:r w:rsidRPr="004A3E39">
        <w:rPr>
          <w:rFonts w:ascii="Publico" w:eastAsia="Times New Roman" w:hAnsi="Publico" w:cs="Times New Roman"/>
          <w:color w:val="000000"/>
          <w:kern w:val="0"/>
          <w14:ligatures w14:val="none"/>
        </w:rPr>
        <w:t>: The criminal justice system should recognize that plea bargaining induces defendants to plead guilty for various reasons, some of which have little or nothing to do with factual and legal guilt. In the current system, innocent people sometimes plead guilty to crimes they did not commit.</w:t>
      </w:r>
    </w:p>
    <w:p w:rsidR="004A3E39" w:rsidRPr="004A3E39" w:rsidRDefault="004A3E39" w:rsidP="004A3E39">
      <w:pPr>
        <w:spacing w:before="100" w:beforeAutospacing="1" w:after="100" w:afterAutospacing="1" w:line="240" w:lineRule="auto"/>
        <w:rPr>
          <w:rFonts w:ascii="Publico" w:eastAsia="Times New Roman" w:hAnsi="Publico" w:cs="Times New Roman"/>
          <w:color w:val="000000"/>
          <w:kern w:val="0"/>
          <w14:ligatures w14:val="none"/>
        </w:rPr>
      </w:pPr>
      <w:r w:rsidRPr="004A3E39">
        <w:rPr>
          <w:rFonts w:ascii="Publico" w:eastAsia="Times New Roman" w:hAnsi="Publico" w:cs="Times New Roman"/>
          <w:b/>
          <w:bCs/>
          <w:color w:val="000000"/>
          <w:kern w:val="0"/>
          <w14:ligatures w14:val="none"/>
        </w:rPr>
        <w:t>Principle 7</w:t>
      </w:r>
      <w:r w:rsidRPr="004A3E39">
        <w:rPr>
          <w:rFonts w:ascii="Publico" w:eastAsia="Times New Roman" w:hAnsi="Publico" w:cs="Times New Roman"/>
          <w:color w:val="000000"/>
          <w:kern w:val="0"/>
          <w14:ligatures w14:val="none"/>
        </w:rPr>
        <w:t>: There should be robust and transparent procedures at the plea phase to ensure that the defendant’s plea is knowing and voluntary, free from impermissible coercion, and that the defendant understands the consequences of their decision to plead guilty.</w:t>
      </w:r>
    </w:p>
    <w:p w:rsidR="004A3E39" w:rsidRPr="004A3E39" w:rsidRDefault="004A3E39" w:rsidP="004A3E39">
      <w:pPr>
        <w:spacing w:before="100" w:beforeAutospacing="1" w:after="100" w:afterAutospacing="1" w:line="240" w:lineRule="auto"/>
        <w:rPr>
          <w:rFonts w:ascii="Publico" w:eastAsia="Times New Roman" w:hAnsi="Publico" w:cs="Times New Roman"/>
          <w:color w:val="000000"/>
          <w:kern w:val="0"/>
          <w14:ligatures w14:val="none"/>
        </w:rPr>
      </w:pPr>
      <w:r w:rsidRPr="004A3E39">
        <w:rPr>
          <w:rFonts w:ascii="Publico" w:eastAsia="Times New Roman" w:hAnsi="Publico" w:cs="Times New Roman"/>
          <w:b/>
          <w:bCs/>
          <w:color w:val="000000"/>
          <w:kern w:val="0"/>
          <w14:ligatures w14:val="none"/>
        </w:rPr>
        <w:t>Principle 8</w:t>
      </w:r>
      <w:r w:rsidRPr="004A3E39">
        <w:rPr>
          <w:rFonts w:ascii="Publico" w:eastAsia="Times New Roman" w:hAnsi="Publico" w:cs="Times New Roman"/>
          <w:color w:val="000000"/>
          <w:kern w:val="0"/>
          <w14:ligatures w14:val="none"/>
        </w:rPr>
        <w:t>: The use of bail or pretrial detention to induce guilty pleas should be eliminated.</w:t>
      </w:r>
    </w:p>
    <w:p w:rsidR="004A3E39" w:rsidRPr="004A3E39" w:rsidRDefault="004A3E39" w:rsidP="004A3E39">
      <w:pPr>
        <w:spacing w:before="100" w:beforeAutospacing="1" w:after="100" w:afterAutospacing="1" w:line="240" w:lineRule="auto"/>
        <w:rPr>
          <w:rFonts w:ascii="Publico" w:eastAsia="Times New Roman" w:hAnsi="Publico" w:cs="Times New Roman"/>
          <w:color w:val="000000"/>
          <w:kern w:val="0"/>
          <w14:ligatures w14:val="none"/>
        </w:rPr>
      </w:pPr>
      <w:r w:rsidRPr="004A3E39">
        <w:rPr>
          <w:rFonts w:ascii="Publico" w:eastAsia="Times New Roman" w:hAnsi="Publico" w:cs="Times New Roman"/>
          <w:b/>
          <w:bCs/>
          <w:color w:val="000000"/>
          <w:kern w:val="0"/>
          <w14:ligatures w14:val="none"/>
        </w:rPr>
        <w:t>Principle 10</w:t>
      </w:r>
      <w:r w:rsidRPr="004A3E39">
        <w:rPr>
          <w:rFonts w:ascii="Publico" w:eastAsia="Times New Roman" w:hAnsi="Publico" w:cs="Times New Roman"/>
          <w:color w:val="000000"/>
          <w:kern w:val="0"/>
          <w14:ligatures w14:val="none"/>
        </w:rPr>
        <w:t>: Although guilty pleas necessarily involve the waiver of certain trial rights, defendants should never be required to waive certain rights. Among them: the right to effective counsel, the right to challenge sentencing errors, the right to challenge the constitutionality of the statute of conviction and the right to appeal. </w:t>
      </w:r>
    </w:p>
    <w:p w:rsidR="004A3E39" w:rsidRPr="004A3E39" w:rsidRDefault="004A3E39" w:rsidP="004A3E39">
      <w:pPr>
        <w:spacing w:before="100" w:beforeAutospacing="1" w:after="100" w:afterAutospacing="1" w:line="240" w:lineRule="auto"/>
        <w:rPr>
          <w:rFonts w:ascii="Publico" w:eastAsia="Times New Roman" w:hAnsi="Publico" w:cs="Times New Roman"/>
          <w:color w:val="000000"/>
          <w:kern w:val="0"/>
          <w14:ligatures w14:val="none"/>
        </w:rPr>
      </w:pPr>
      <w:r w:rsidRPr="004A3E39">
        <w:rPr>
          <w:rFonts w:ascii="Publico" w:eastAsia="Times New Roman" w:hAnsi="Publico" w:cs="Times New Roman"/>
          <w:color w:val="000000"/>
          <w:kern w:val="0"/>
          <w14:ligatures w14:val="none"/>
        </w:rPr>
        <w:t>Many of the task force recommendations may require changes to current laws, rules of procedure or regulation. However, the report concluded that state courts could interpret their constitutions as providing greater protections to defendants during plea bargaining than the federal constitution. The report also found that some problems identified by the task force could be resolved through the adoption of ethical rules that apply to the behavior of judges and lawyers.</w:t>
      </w:r>
    </w:p>
    <w:p w:rsidR="004A3E39" w:rsidRPr="004A3E39" w:rsidRDefault="004A3E39" w:rsidP="004A3E39">
      <w:pPr>
        <w:spacing w:before="100" w:beforeAutospacing="1" w:after="100" w:afterAutospacing="1" w:line="240" w:lineRule="auto"/>
        <w:rPr>
          <w:rFonts w:ascii="Publico" w:eastAsia="Times New Roman" w:hAnsi="Publico" w:cs="Times New Roman"/>
          <w:color w:val="000000"/>
          <w:kern w:val="0"/>
          <w14:ligatures w14:val="none"/>
        </w:rPr>
      </w:pPr>
      <w:r w:rsidRPr="004A3E39">
        <w:rPr>
          <w:rFonts w:ascii="Publico" w:eastAsia="Times New Roman" w:hAnsi="Publico" w:cs="Times New Roman"/>
          <w:b/>
          <w:bCs/>
          <w:color w:val="000000"/>
          <w:kern w:val="0"/>
          <w14:ligatures w14:val="none"/>
        </w:rPr>
        <w:t>The ABA is the largest voluntary association of lawyers in the world. As the national voice of the legal profession, the ABA works to improve the administration of justice, promotes programs that assist lawyers and judges in their work, accredits law schools, provides continuing legal education and works to build public understanding around the world of the importance of the rule of law.</w:t>
      </w:r>
    </w:p>
    <w:p w:rsidR="00855E29" w:rsidRDefault="00855E29"/>
    <w:sectPr w:rsidR="00855E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6334E" w:rsidRDefault="00F6334E" w:rsidP="00857710">
      <w:pPr>
        <w:spacing w:after="0" w:line="240" w:lineRule="auto"/>
      </w:pPr>
      <w:r>
        <w:separator/>
      </w:r>
    </w:p>
  </w:endnote>
  <w:endnote w:type="continuationSeparator" w:id="0">
    <w:p w:rsidR="00F6334E" w:rsidRDefault="00F6334E" w:rsidP="00857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ublic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6334E" w:rsidRDefault="00F6334E" w:rsidP="00857710">
      <w:pPr>
        <w:spacing w:after="0" w:line="240" w:lineRule="auto"/>
      </w:pPr>
      <w:r>
        <w:separator/>
      </w:r>
    </w:p>
  </w:footnote>
  <w:footnote w:type="continuationSeparator" w:id="0">
    <w:p w:rsidR="00F6334E" w:rsidRDefault="00F6334E" w:rsidP="008577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E39"/>
    <w:rsid w:val="004650F2"/>
    <w:rsid w:val="004A3E39"/>
    <w:rsid w:val="00855E29"/>
    <w:rsid w:val="00857710"/>
    <w:rsid w:val="00F07FF9"/>
    <w:rsid w:val="00F633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B1801B9-CCCA-4A04-98A0-A04868088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E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3E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3E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3E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3E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3E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3E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3E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3E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E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3E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3E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3E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3E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3E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E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E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E39"/>
    <w:rPr>
      <w:rFonts w:eastAsiaTheme="majorEastAsia" w:cstheme="majorBidi"/>
      <w:color w:val="272727" w:themeColor="text1" w:themeTint="D8"/>
    </w:rPr>
  </w:style>
  <w:style w:type="paragraph" w:styleId="Title">
    <w:name w:val="Title"/>
    <w:basedOn w:val="Normal"/>
    <w:next w:val="Normal"/>
    <w:link w:val="TitleChar"/>
    <w:uiPriority w:val="10"/>
    <w:qFormat/>
    <w:rsid w:val="004A3E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E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E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E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E39"/>
    <w:pPr>
      <w:spacing w:before="160"/>
      <w:jc w:val="center"/>
    </w:pPr>
    <w:rPr>
      <w:i/>
      <w:iCs/>
      <w:color w:val="404040" w:themeColor="text1" w:themeTint="BF"/>
    </w:rPr>
  </w:style>
  <w:style w:type="character" w:customStyle="1" w:styleId="QuoteChar">
    <w:name w:val="Quote Char"/>
    <w:basedOn w:val="DefaultParagraphFont"/>
    <w:link w:val="Quote"/>
    <w:uiPriority w:val="29"/>
    <w:rsid w:val="004A3E39"/>
    <w:rPr>
      <w:i/>
      <w:iCs/>
      <w:color w:val="404040" w:themeColor="text1" w:themeTint="BF"/>
    </w:rPr>
  </w:style>
  <w:style w:type="paragraph" w:styleId="ListParagraph">
    <w:name w:val="List Paragraph"/>
    <w:basedOn w:val="Normal"/>
    <w:uiPriority w:val="34"/>
    <w:qFormat/>
    <w:rsid w:val="004A3E39"/>
    <w:pPr>
      <w:ind w:left="720"/>
      <w:contextualSpacing/>
    </w:pPr>
  </w:style>
  <w:style w:type="character" w:styleId="IntenseEmphasis">
    <w:name w:val="Intense Emphasis"/>
    <w:basedOn w:val="DefaultParagraphFont"/>
    <w:uiPriority w:val="21"/>
    <w:qFormat/>
    <w:rsid w:val="004A3E39"/>
    <w:rPr>
      <w:i/>
      <w:iCs/>
      <w:color w:val="0F4761" w:themeColor="accent1" w:themeShade="BF"/>
    </w:rPr>
  </w:style>
  <w:style w:type="paragraph" w:styleId="IntenseQuote">
    <w:name w:val="Intense Quote"/>
    <w:basedOn w:val="Normal"/>
    <w:next w:val="Normal"/>
    <w:link w:val="IntenseQuoteChar"/>
    <w:uiPriority w:val="30"/>
    <w:qFormat/>
    <w:rsid w:val="004A3E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3E39"/>
    <w:rPr>
      <w:i/>
      <w:iCs/>
      <w:color w:val="0F4761" w:themeColor="accent1" w:themeShade="BF"/>
    </w:rPr>
  </w:style>
  <w:style w:type="character" w:styleId="IntenseReference">
    <w:name w:val="Intense Reference"/>
    <w:basedOn w:val="DefaultParagraphFont"/>
    <w:uiPriority w:val="32"/>
    <w:qFormat/>
    <w:rsid w:val="004A3E39"/>
    <w:rPr>
      <w:b/>
      <w:bCs/>
      <w:smallCaps/>
      <w:color w:val="0F4761" w:themeColor="accent1" w:themeShade="BF"/>
      <w:spacing w:val="5"/>
    </w:rPr>
  </w:style>
  <w:style w:type="paragraph" w:styleId="Header">
    <w:name w:val="header"/>
    <w:basedOn w:val="Normal"/>
    <w:link w:val="HeaderChar"/>
    <w:uiPriority w:val="99"/>
    <w:unhideWhenUsed/>
    <w:rsid w:val="00857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710"/>
  </w:style>
  <w:style w:type="paragraph" w:styleId="Footer">
    <w:name w:val="footer"/>
    <w:basedOn w:val="Normal"/>
    <w:link w:val="FooterChar"/>
    <w:uiPriority w:val="99"/>
    <w:unhideWhenUsed/>
    <w:rsid w:val="008577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2406342">
      <w:bodyDiv w:val="1"/>
      <w:marLeft w:val="0"/>
      <w:marRight w:val="0"/>
      <w:marTop w:val="0"/>
      <w:marBottom w:val="0"/>
      <w:divBdr>
        <w:top w:val="none" w:sz="0" w:space="0" w:color="auto"/>
        <w:left w:val="none" w:sz="0" w:space="0" w:color="auto"/>
        <w:bottom w:val="none" w:sz="0" w:space="0" w:color="auto"/>
        <w:right w:val="none" w:sz="0" w:space="0" w:color="auto"/>
      </w:divBdr>
      <w:divsChild>
        <w:div w:id="1877311296">
          <w:marLeft w:val="0"/>
          <w:marRight w:val="0"/>
          <w:marTop w:val="0"/>
          <w:marBottom w:val="0"/>
          <w:divBdr>
            <w:top w:val="none" w:sz="0" w:space="0" w:color="auto"/>
            <w:left w:val="none" w:sz="0" w:space="0" w:color="auto"/>
            <w:bottom w:val="none" w:sz="0" w:space="0" w:color="auto"/>
            <w:right w:val="none" w:sz="0" w:space="0" w:color="auto"/>
          </w:divBdr>
          <w:divsChild>
            <w:div w:id="2096004718">
              <w:marLeft w:val="0"/>
              <w:marRight w:val="0"/>
              <w:marTop w:val="0"/>
              <w:marBottom w:val="0"/>
              <w:divBdr>
                <w:top w:val="none" w:sz="0" w:space="0" w:color="auto"/>
                <w:left w:val="none" w:sz="0" w:space="0" w:color="auto"/>
                <w:bottom w:val="none" w:sz="0" w:space="0" w:color="auto"/>
                <w:right w:val="none" w:sz="0" w:space="0" w:color="auto"/>
              </w:divBdr>
              <w:divsChild>
                <w:div w:id="20152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03725">
          <w:marLeft w:val="0"/>
          <w:marRight w:val="0"/>
          <w:marTop w:val="0"/>
          <w:marBottom w:val="0"/>
          <w:divBdr>
            <w:top w:val="none" w:sz="0" w:space="0" w:color="auto"/>
            <w:left w:val="none" w:sz="0" w:space="0" w:color="auto"/>
            <w:bottom w:val="none" w:sz="0" w:space="0" w:color="auto"/>
            <w:right w:val="none" w:sz="0" w:space="0" w:color="auto"/>
          </w:divBdr>
          <w:divsChild>
            <w:div w:id="160611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ericanbar.org/groups/criminal_justice/" TargetMode="External"/><Relationship Id="rId3" Type="http://schemas.openxmlformats.org/officeDocument/2006/relationships/webSettings" Target="webSettings.xml"/><Relationship Id="rId7" Type="http://schemas.openxmlformats.org/officeDocument/2006/relationships/hyperlink" Target="https://www.americanbar.org/groups/criminal_justice/committees/taskforces/plea_bargain_t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mericanbar.org/content/dam/aba/administrative/criminal_justice/reports/plea-bargain-tf-report.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861</Words>
  <Characters>4914</Characters>
  <Application>Microsoft Office Word</Application>
  <DocSecurity>0</DocSecurity>
  <Lines>40</Lines>
  <Paragraphs>11</Paragraphs>
  <ScaleCrop>false</ScaleCrop>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Sharp</dc:creator>
  <cp:keywords/>
  <dc:description/>
  <cp:lastModifiedBy>James Sharp</cp:lastModifiedBy>
  <cp:revision>2</cp:revision>
  <dcterms:created xsi:type="dcterms:W3CDTF">2026-07-23T02:36:00Z</dcterms:created>
  <dcterms:modified xsi:type="dcterms:W3CDTF">2026-07-23T02:48:00Z</dcterms:modified>
</cp:coreProperties>
</file>